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70.pdf" ContentType="application/pdf"/>
  <Override PartName="/word/media/rId67.pdf" ContentType="application/pdf"/>
  <Override PartName="/word/media/rId64.pdf" ContentType="application/pdf"/>
  <Override PartName="/word/media/rId7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 Rosenthal, Alan D Attie, Gary A Churchill and Gregory W</w:t>
      </w:r>
      <w:r>
        <w:t xml:space="preserve"> </w:t>
      </w:r>
      <w:r>
        <w:t xml:space="preserve">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</w:t>
      </w:r>
      <w:r>
        <w:t xml:space="preserve"> </w:t>
      </w:r>
      <w:r>
        <w:t xml:space="preserve">tissue, pancreatic islets, liver, and skeletal muscle. The multi-system</w:t>
      </w:r>
      <w:r>
        <w:t xml:space="preserve"> </w:t>
      </w:r>
      <w:r>
        <w:t xml:space="preserve">etiology of metabolic disease complicates mechanistic dissection of the</w:t>
      </w:r>
      <w:r>
        <w:t xml:space="preserve"> </w:t>
      </w:r>
      <w:r>
        <w:t xml:space="preserve">genetic 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21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22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</w:p>
    <w:p>
      <w:pPr>
        <w:pStyle w:val="BodyText"/>
      </w:pPr>
      <w:r>
        <w:t xml:space="preserve">Both the DO and CC mice were derived from eight inbred founder mouse</w:t>
      </w:r>
      <w:r>
        <w:t xml:space="preserve"> </w:t>
      </w:r>
      <w:r>
        <w:t xml:space="preserve">strains, five classical lab strains, and three strains more recently</w:t>
      </w:r>
      <w:r>
        <w:t xml:space="preserve"> </w:t>
      </w:r>
      <w:r>
        <w:t xml:space="preserve">derived from wild mice</w:t>
      </w:r>
      <w:r>
        <w:rPr>
          <w:vertAlign w:val="superscript"/>
        </w:rPr>
        <w:t xml:space="preserve">21</w:t>
      </w:r>
      <w:r>
        <w:t xml:space="preserve">. They represent three</w:t>
      </w:r>
      <w:r>
        <w:t xml:space="preserve"> </w:t>
      </w:r>
      <w:r>
        <w:t xml:space="preserve">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</w:t>
      </w:r>
      <w:r>
        <w:t xml:space="preserve"> </w:t>
      </w:r>
      <w:r>
        <w:t xml:space="preserve">capture 90% of the known variation in laboratory mice</w:t>
      </w:r>
      <w:r>
        <w:rPr>
          <w:vertAlign w:val="superscript"/>
        </w:rPr>
        <w:t xml:space="preserve">23</w:t>
      </w:r>
      <w:r>
        <w:t xml:space="preserve">. The DO mice are maintained with a breeding scheme</w:t>
      </w:r>
      <w:r>
        <w:t xml:space="preserve"> </w:t>
      </w:r>
      <w:r>
        <w:t xml:space="preserve">that ensures equal contributions from each founder across the genome</w:t>
      </w:r>
      <w:r>
        <w:t xml:space="preserve"> </w:t>
      </w:r>
      <w:r>
        <w:t xml:space="preserve">thus rendering almost the whole genome visible to genetic inquiry</w:t>
      </w:r>
      <w:r>
        <w:rPr>
          <w:vertAlign w:val="superscript"/>
        </w:rPr>
        <w:t xml:space="preserve">21</w:t>
      </w:r>
      <w:r>
        <w:t xml:space="preserve">. The CC mice were initially outbred to recombine the</w:t>
      </w:r>
      <w:r>
        <w:t xml:space="preserve"> </w:t>
      </w:r>
      <w:r>
        <w:t xml:space="preserve">genomes from all eight founders, and then inbred for at least 20</w:t>
      </w:r>
      <w:r>
        <w:t xml:space="preserve"> </w:t>
      </w:r>
      <w:r>
        <w:t xml:space="preserve">generations to generate multiple inbred lines.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500 mice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 including body weight, plasma levels of insulin</w:t>
      </w:r>
      <w:r>
        <w:t xml:space="preserve"> </w:t>
      </w:r>
      <w:r>
        <w:t xml:space="preserve">and glucose and plasma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the CC-RIX and gene expression from three of the four tissues used in</w:t>
      </w:r>
      <w:r>
        <w:t xml:space="preserve"> </w:t>
      </w:r>
      <w:r>
        <w:t xml:space="preserve">the DO: adipose tissue, liver, and skeletal muscle. Because the CC-RIX</w:t>
      </w:r>
      <w:r>
        <w:t xml:space="preserve"> </w:t>
      </w:r>
      <w:r>
        <w:t xml:space="preserve">carry the same founder alleles as the DO, local gene regulation is</w:t>
      </w:r>
      <w:r>
        <w:t xml:space="preserve"> </w:t>
      </w:r>
      <w:r>
        <w:t xml:space="preserve">expected to match between the populations, but because the alleles are</w:t>
      </w:r>
      <w:r>
        <w:t xml:space="preserve"> </w:t>
      </w:r>
      <w:r>
        <w:t xml:space="preserve">recombined through the genome, distal effects are expected to vary from</w:t>
      </w:r>
      <w:r>
        <w:t xml:space="preserve"> </w:t>
      </w:r>
      <w:r>
        <w:t xml:space="preserve">those in the DO, allowing us to directly assess the role of local gene</w:t>
      </w:r>
      <w:r>
        <w:t xml:space="preserve"> </w:t>
      </w:r>
      <w:r>
        <w:t xml:space="preserve">regulation in driving trait-associated transcript variation. Together,</w:t>
      </w:r>
      <w:r>
        <w:t xml:space="preserve"> </w:t>
      </w:r>
      <w:r>
        <w:t xml:space="preserve">these data enable a comprehensive view into the genetic architecture of</w:t>
      </w:r>
      <w:r>
        <w:t xml:space="preserve"> </w:t>
      </w:r>
      <w:r>
        <w:t xml:space="preserve">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24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shows that most</w:t>
      </w:r>
      <w:r>
        <w:t xml:space="preserve"> </w:t>
      </w:r>
      <w:r>
        <w:t xml:space="preserve">of the metabolic trait pairs were weakly correlated indicating complex</w:t>
      </w:r>
      <w:r>
        <w:t xml:space="preserve"> </w:t>
      </w:r>
      <w:r>
        <w:t xml:space="preserve">relationships among the measured traits. This low level of redundancy</w:t>
      </w:r>
      <w:r>
        <w:t xml:space="preserve"> </w:t>
      </w:r>
      <w:r>
        <w:t xml:space="preserve">suggests a broad sampling of multiple heritable aspects of metabolic</w:t>
      </w:r>
      <w:r>
        <w:t xml:space="preserve"> </w:t>
      </w:r>
      <w:r>
        <w:t xml:space="preserve">disease including overall body weight, glucose homeostasis, pancreatic</w:t>
      </w:r>
      <w:r>
        <w:t xml:space="preserve"> </w:t>
      </w:r>
      <w:r>
        <w:t xml:space="preserve">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25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 1). Significant local eQTLs far outnumbered</w:t>
      </w:r>
      <w:r>
        <w:t xml:space="preserve"> </w:t>
      </w:r>
      <w:r>
        <w:t xml:space="preserve">distal eQTLs (Supp. Fig. 1F) and tended to be shared across tissues</w:t>
      </w:r>
      <w:r>
        <w:t xml:space="preserve"> </w:t>
      </w:r>
      <w:r>
        <w:t xml:space="preserve">(Supp. Fig. 1G) whereas the few significant distal eQTLs we identified</w:t>
      </w:r>
      <w:r>
        <w:t xml:space="preserve"> </w:t>
      </w:r>
      <w:r>
        <w:t xml:space="preserve">tended to be tissue-specific (Supp. Fig. 1H)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relevance. We defined trait relevance as the maximum</w:t>
      </w:r>
      <w:r>
        <w:t xml:space="preserve"> </w:t>
      </w:r>
      <w:r>
        <w:t xml:space="preserve">correlation of a 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26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that was</w:t>
      </w:r>
      <w:r>
        <w:t xml:space="preserve"> </w:t>
      </w:r>
      <w:r>
        <w:t xml:space="preserve">perfectly 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27,28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 KEGG pathways associated with</w:t>
      </w:r>
      <w:r>
        <w:t xml:space="preserve"> </w:t>
      </w:r>
      <w:r>
        <w:t xml:space="preserve">inflammation, particularly macrophage infiltration, were positively</w:t>
      </w:r>
      <w:r>
        <w:t xml:space="preserve"> </w:t>
      </w:r>
      <w:r>
        <w:t xml:space="preserve">associated with metabolic index, indicating that increased expression in</w:t>
      </w:r>
      <w:r>
        <w:t xml:space="preserve"> </w:t>
      </w:r>
      <w:r>
        <w:t xml:space="preserve">inflammatory pathways was associated with a higher metabolic index. It</w:t>
      </w:r>
      <w:r>
        <w:t xml:space="preserve"> </w:t>
      </w:r>
      <w:r>
        <w:t xml:space="preserve">is well established that adipose tissue in obese individuals is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 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</w:t>
      </w:r>
      <w:r>
        <w:t xml:space="preserve"> </w:t>
      </w:r>
      <w:r>
        <w:t xml:space="preserve">here suggest that this may be a heritable component of metabolic</w:t>
      </w:r>
      <w:r>
        <w:t xml:space="preserve"> </w:t>
      </w:r>
      <w:r>
        <w:t xml:space="preserve">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 2 and Fig.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 shown mouse</w:t>
      </w:r>
      <w:r>
        <w:t xml:space="preserve"> </w:t>
      </w:r>
      <w:r>
        <w:t xml:space="preserve">strains with greater thermogenic potential are also less susceptible to</w:t>
      </w:r>
      <w:r>
        <w:t xml:space="preserve"> </w:t>
      </w:r>
      <w:r>
        <w:t xml:space="preserve">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3).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12,29,30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2.375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31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31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32,33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34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adipocytes</w:t>
      </w:r>
      <w:r>
        <w:rPr>
          <w:vertAlign w:val="superscript"/>
        </w:rPr>
        <w:t xml:space="preserve">35,36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 4). However, these imputed values failed to predict body</w:t>
      </w:r>
      <w:r>
        <w:t xml:space="preserve"> </w:t>
      </w:r>
      <w:r>
        <w:t xml:space="preserve">weight in the CC-RIX when weighted 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 result suggests that local</w:t>
      </w:r>
      <w:r>
        <w:t xml:space="preserve"> </w:t>
      </w:r>
      <w:r>
        <w:t xml:space="preserve">regulation of gene expression is not the primary factor driving</w:t>
      </w:r>
      <w:r>
        <w:t xml:space="preserve"> </w:t>
      </w:r>
      <w:r>
        <w:t xml:space="preserve">heritability of complex traits, consistent with our findings in the DO</w:t>
      </w:r>
      <w:r>
        <w:t xml:space="preserve"> </w:t>
      </w:r>
      <w:r>
        <w:t xml:space="preserve">population that distal heritability was a major driver of trait-relevant</w:t>
      </w:r>
      <w:r>
        <w:t xml:space="preserve"> </w:t>
      </w:r>
      <w:r>
        <w:t xml:space="preserve">variation and that high-loading transcripts had comparatively high</w:t>
      </w:r>
      <w:r>
        <w:t xml:space="preserve"> </w:t>
      </w:r>
      <w:r>
        <w:t xml:space="preserve">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6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</w:t>
      </w:r>
      <w:r>
        <w:t xml:space="preserve"> </w:t>
      </w:r>
      <w:r>
        <w:t xml:space="preserve">[</w:t>
      </w:r>
      <w:r>
        <w:t xml:space="preserve">cite or remove</w:t>
      </w:r>
      <w:r>
        <w:t xml:space="preserve">]</w:t>
      </w:r>
      <w:r>
        <w:t xml:space="preserve">. The ConnectivityMap (CMAP) database</w:t>
      </w:r>
      <w:r>
        <w:rPr>
          <w:vertAlign w:val="superscript"/>
        </w:rPr>
        <w:t xml:space="preserve">37</w:t>
      </w:r>
      <w:r>
        <w:t xml:space="preserve"> </w:t>
      </w:r>
      <w:r>
        <w:t xml:space="preserve">developed by the Broad Institute allows us to query</w:t>
      </w:r>
      <w:r>
        <w:t xml:space="preserve"> </w:t>
      </w:r>
      <w:r>
        <w:t xml:space="preserve">thousands of compounds that reverse or enhance the extreme ends of</w:t>
      </w:r>
      <w:r>
        <w:t xml:space="preserve"> </w:t>
      </w:r>
      <w:r>
        <w:t xml:space="preserve">transcriptomic signatures in multiple different cell types. By</w:t>
      </w:r>
      <w:r>
        <w:t xml:space="preserve"> </w:t>
      </w:r>
      <w:r>
        <w:t xml:space="preserve">identifying drugs that reverse pathogenic transcriptomic signatures, we</w:t>
      </w:r>
      <w:r>
        <w:t xml:space="preserve"> </w:t>
      </w:r>
      <w:r>
        <w:t xml:space="preserve">can potentially identify compounds that have favorable effects on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types.</w:t>
      </w:r>
      <w:r>
        <w:t xml:space="preserve"> </w:t>
      </w:r>
      <w:r>
        <w:t xml:space="preserve">To get more tissue-specific results, we also looked at top results in</w:t>
      </w:r>
      <w:r>
        <w:t xml:space="preserve"> </w:t>
      </w:r>
      <w:r>
        <w:t xml:space="preserve">cell types that most closely resembled our tissues. We looked at results</w:t>
      </w:r>
      <w:r>
        <w:t xml:space="preserve"> </w:t>
      </w:r>
      <w:r>
        <w:t xml:space="preserve">in adipocytes (ASC) as well as pancreatic tumor cells (YAPC) regardless</w:t>
      </w:r>
      <w:r>
        <w:t xml:space="preserve"> </w:t>
      </w:r>
      <w:r>
        <w:t xml:space="preserve">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38,39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39–41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42,43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44–46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47,48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(Supplemental Figure XXXB). PARPs play a role in lipid</w:t>
      </w:r>
      <w:r>
        <w:t xml:space="preserve"> </w:t>
      </w:r>
      <w:r>
        <w:t xml:space="preserve">metabolism and are involved in the development of obesity and diabetes</w:t>
      </w:r>
      <w:r>
        <w:rPr>
          <w:vertAlign w:val="superscript"/>
        </w:rPr>
        <w:t xml:space="preserve">49</w:t>
      </w:r>
      <w:r>
        <w:t xml:space="preserve">. PARP1 inhibition increases mitochondrial biogenesis</w:t>
      </w:r>
      <w:r>
        <w:rPr>
          <w:vertAlign w:val="superscript"/>
        </w:rPr>
        <w:t xml:space="preserve">50</w:t>
      </w:r>
      <w:r>
        <w:t xml:space="preserve">. Inihibition of PARP1 activity can further prevent</w:t>
      </w:r>
      <w:r>
        <w:t xml:space="preserve"> </w:t>
      </w:r>
      <w:r>
        <w:t xml:space="preserve">necrosis in favor of the less inflammatory apoptosis</w:t>
      </w:r>
      <w:r>
        <w:rPr>
          <w:vertAlign w:val="superscript"/>
        </w:rPr>
        <w:t xml:space="preserve">51</w:t>
      </w:r>
      <w:r>
        <w:t xml:space="preserve">, thereby potentially reducing inflammation in</w:t>
      </w:r>
      <w:r>
        <w:t xml:space="preserve"> </w:t>
      </w:r>
      <w:r>
        <w:t xml:space="preserve">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52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53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54,55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(Fig. XXX), was suppression of T cell receptor</w:t>
      </w:r>
      <w:r>
        <w:t xml:space="preserve"> </w:t>
      </w:r>
      <w:r>
        <w:t xml:space="preserve">signaling, which is known to be involved in Type 1 diabetes</w:t>
      </w:r>
      <w:r>
        <w:rPr>
          <w:vertAlign w:val="superscript"/>
        </w:rPr>
        <w:t xml:space="preserve">56</w:t>
      </w:r>
      <w:r>
        <w:t xml:space="preserve">, as well as TNFR1, which has been associated with</w:t>
      </w:r>
      <w:r>
        <w:t xml:space="preserve"> </w:t>
      </w:r>
      <w:r>
        <w:t xml:space="preserve">mortality in diabetes patients</w:t>
      </w:r>
      <w:r>
        <w:rPr>
          <w:vertAlign w:val="superscript"/>
        </w:rPr>
        <w:t xml:space="preserve">57</w:t>
      </w:r>
      <w:r>
        <w:t xml:space="preserve">. Suppression of</w:t>
      </w:r>
      <w:r>
        <w:t xml:space="preserve"> </w:t>
      </w:r>
      <w:r>
        <w:t xml:space="preserve">NOD1/2 signaling was also among the top hits. NOD1 and 2 sense ER stress</w:t>
      </w:r>
      <w:r>
        <w:rPr>
          <w:vertAlign w:val="superscript"/>
        </w:rPr>
        <w:t xml:space="preserve">58,59</w:t>
      </w:r>
      <w:r>
        <w:t xml:space="preserve">, which is associated 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60</w:t>
      </w:r>
      <w:r>
        <w:t xml:space="preserve">.</w:t>
      </w:r>
      <w:r>
        <w:t xml:space="preserve"> </w:t>
      </w:r>
      <w:r>
        <w:t xml:space="preserve">This cell death process is dependent on NOD1/2 signaling</w:t>
      </w:r>
      <w:r>
        <w:rPr>
          <w:vertAlign w:val="superscript"/>
        </w:rPr>
        <w:t xml:space="preserve">58</w:t>
      </w:r>
      <w:r>
        <w:t xml:space="preserve">, although the specifics have not yet been worked</w:t>
      </w:r>
      <w:r>
        <w:t xml:space="preserve"> </w:t>
      </w:r>
      <w:r>
        <w:t xml:space="preserve">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pancreas. Hits in this list included widely used</w:t>
      </w:r>
      <w:r>
        <w:t xml:space="preserve"> </w:t>
      </w:r>
      <w:r>
        <w:t xml:space="preserve">diabetes drugs, such as sulfonylureas, PPAR receptor agonists, and</w:t>
      </w:r>
      <w:r>
        <w:t xml:space="preserve"> </w:t>
      </w:r>
      <w:r>
        <w:t xml:space="preserve">insulin sensitizers. Rosiglitazone is a PPAR-</w:t>
      </w:r>
      <m:oMath>
        <m:r>
          <m:t>γ</m:t>
        </m:r>
      </m:oMath>
      <w:r>
        <w:t xml:space="preserve"> </w:t>
      </w:r>
      <w:r>
        <w:t xml:space="preserve">agonist and was</w:t>
      </w:r>
      <w:r>
        <w:t xml:space="preserve"> </w:t>
      </w:r>
      <w:r>
        <w:t xml:space="preserve">one of the most prescribed drugs for type 2 diabetes before its use was</w:t>
      </w:r>
      <w:r>
        <w:t xml:space="preserve"> </w:t>
      </w:r>
      <w:r>
        <w:t xml:space="preserve">reduced due to cardiac side-effects</w:t>
      </w:r>
      <w:r>
        <w:rPr>
          <w:vertAlign w:val="superscript"/>
        </w:rPr>
        <w:t xml:space="preserve">61</w:t>
      </w:r>
      <w:r>
        <w:t xml:space="preserve">. Sulfonylureas</w:t>
      </w:r>
      <w:r>
        <w:t xml:space="preserve"> </w:t>
      </w:r>
      <w:r>
        <w:t xml:space="preserve">are 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62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a genetically diverse mouse</w:t>
      </w:r>
      <w:r>
        <w:t xml:space="preserve"> </w:t>
      </w:r>
      <w:r>
        <w:t xml:space="preserve">model of diet-induced obesity and metabolic disease. We identified</w:t>
      </w:r>
      <w:r>
        <w:t xml:space="preserve"> </w:t>
      </w:r>
      <w:r>
        <w:t xml:space="preserve">tissue-specific composite transcripts mediating the effect of genetic</w:t>
      </w:r>
      <w:r>
        <w:t xml:space="preserve"> </w:t>
      </w:r>
      <w:r>
        <w:t xml:space="preserve">background on metabolic traits. Transcripts contributing most strongly</w:t>
      </w:r>
      <w:r>
        <w:t xml:space="preserve"> </w:t>
      </w:r>
      <w:r>
        <w:t xml:space="preserve">to these composite transcripts were distally heritable. These composite</w:t>
      </w:r>
      <w:r>
        <w:t xml:space="preserve"> </w:t>
      </w:r>
      <w:r>
        <w:t xml:space="preserve">transcripts, but not local eQTL, were able to predict obesity in an</w:t>
      </w:r>
      <w:r>
        <w:t xml:space="preserve"> </w:t>
      </w:r>
      <w:r>
        <w:t xml:space="preserve">independent mouse population with divergent allelic structure. Moreover,</w:t>
      </w:r>
      <w:r>
        <w:t xml:space="preserve"> </w:t>
      </w:r>
      <w:r>
        <w:t xml:space="preserve">the composite transcript from adipose tissue predicted obesity and</w:t>
      </w:r>
      <w:r>
        <w:t xml:space="preserve"> </w:t>
      </w:r>
      <w:r>
        <w:t xml:space="preserve">diabetes status in human cohorts with measured adipose gene expression.</w:t>
      </w:r>
      <w:r>
        <w:t xml:space="preserve"> </w:t>
      </w:r>
      <w:r>
        <w:t xml:space="preserve">Taken together, these results support the hypothesis that gene</w:t>
      </w:r>
      <w:r>
        <w:t xml:space="preserve"> </w:t>
      </w:r>
      <w:r>
        <w:t xml:space="preserve">expression mediating the effect of genetic background on phenotype is</w:t>
      </w:r>
      <w:r>
        <w:t xml:space="preserve"> </w:t>
      </w:r>
      <w:r>
        <w:t xml:space="preserve">primarily distally regulated, and that the gene regulatory networks</w:t>
      </w:r>
      <w:r>
        <w:t xml:space="preserve"> </w:t>
      </w:r>
      <w:r>
        <w:t xml:space="preserve">influencing metabolic disease are conserved across mice and humans.</w:t>
      </w:r>
    </w:p>
    <w:p>
      <w:pPr>
        <w:pStyle w:val="BodyText"/>
      </w:pPr>
      <w:r>
        <w:t xml:space="preserve">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</w:t>
      </w:r>
      <w:r>
        <w:t xml:space="preserve"> </w:t>
      </w:r>
      <w:r>
        <w:t xml:space="preserve">the primary driver of genetically associated trait variation,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had limited success</w:t>
      </w:r>
      <w:r>
        <w:rPr>
          <w:vertAlign w:val="superscript"/>
        </w:rPr>
        <w:t xml:space="preserve">16,17</w:t>
      </w:r>
      <w:r>
        <w:t xml:space="preserve">. In recent</w:t>
      </w:r>
      <w:r>
        <w:t xml:space="preserve"> </w:t>
      </w:r>
      <w:r>
        <w:t xml:space="preserve">years, evidence has mounted that distal gene regulation may be an</w:t>
      </w:r>
      <w:r>
        <w:t xml:space="preserve"> </w:t>
      </w:r>
      <w:r>
        <w:t xml:space="preserve">important mediator of trait heritability</w:t>
      </w:r>
      <w:r>
        <w:rPr>
          <w:vertAlign w:val="superscript"/>
        </w:rPr>
        <w:t xml:space="preserve">18,19,63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transcripts with low local heritability</w:t>
      </w:r>
      <w:r>
        <w:rPr>
          <w:vertAlign w:val="superscript"/>
        </w:rPr>
        <w:t xml:space="preserve">19</w:t>
      </w:r>
      <w:r>
        <w:t xml:space="preserve">. Consistent with this observation, genes located</w:t>
      </w:r>
      <w:r>
        <w:t xml:space="preserve"> </w:t>
      </w:r>
      <w:r>
        <w:t xml:space="preserve">near GWAS hits tend to be complexly regulated</w:t>
      </w:r>
      <w:r>
        <w:rPr>
          <w:vertAlign w:val="superscript"/>
        </w:rPr>
        <w:t xml:space="preserve">18</w:t>
      </w:r>
      <w:r>
        <w:t xml:space="preserve">. They</w:t>
      </w:r>
      <w:r>
        <w:t xml:space="preserve"> </w:t>
      </w:r>
      <w:r>
        <w:t xml:space="preserve">also tend to be enriched with functional annotations, in contrast to</w:t>
      </w:r>
      <w:r>
        <w:t xml:space="preserve"> </w:t>
      </w:r>
      <w:r>
        <w:t xml:space="preserve">genes with simple local regulation, which tend to be depleted of</w:t>
      </w:r>
      <w:r>
        <w:t xml:space="preserve"> </w:t>
      </w:r>
      <w:r>
        <w:t xml:space="preserve">functional annotations suggesting they are less likely to be directly</w:t>
      </w:r>
      <w:r>
        <w:t xml:space="preserve"> </w:t>
      </w:r>
      <w:r>
        <w:t xml:space="preserve">involved in disease traits</w:t>
      </w:r>
      <w:r>
        <w:rPr>
          <w:vertAlign w:val="superscript"/>
        </w:rPr>
        <w:t xml:space="preserve">18</w:t>
      </w:r>
      <w:r>
        <w:t xml:space="preserve">. These observations are</w:t>
      </w:r>
      <w:r>
        <w:t xml:space="preserve"> </w:t>
      </w:r>
      <w:r>
        <w:t xml:space="preserve">consistent with principles of robustness in complex systems</w:t>
      </w:r>
      <w:r>
        <w:rPr>
          <w:vertAlign w:val="superscript"/>
        </w:rPr>
        <w:t xml:space="preserve">64–66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The composite transcripts we identified here supported the hypothesis</w:t>
      </w:r>
      <w:r>
        <w:t xml:space="preserve"> </w:t>
      </w:r>
      <w:r>
        <w:t xml:space="preserve">that distally regulated gene expression is the dominant mediator of</w:t>
      </w:r>
      <w:r>
        <w:t xml:space="preserve"> </w:t>
      </w:r>
      <w:r>
        <w:t xml:space="preserve">trait variation. Transcript loadings (the degree to which they</w:t>
      </w:r>
      <w:r>
        <w:t xml:space="preserve"> </w:t>
      </w:r>
      <w:r>
        <w:t xml:space="preserve">contributed to the composite transcript) were negatively correlated with</w:t>
      </w:r>
      <w:r>
        <w:t xml:space="preserve"> </w:t>
      </w:r>
      <w:r>
        <w:t xml:space="preserve">local heritability and positively correlated with distal heritability.</w:t>
      </w:r>
      <w:r>
        <w:t xml:space="preserve"> </w:t>
      </w:r>
      <w:r>
        <w:t xml:space="preserve">The most strongly loaded transcripts were enriched for functional</w:t>
      </w:r>
      <w:r>
        <w:t xml:space="preserve"> </w:t>
      </w:r>
      <w:r>
        <w:t xml:space="preserve">annotations associated with metabolic disease. These distally regulated</w:t>
      </w:r>
      <w:r>
        <w:t xml:space="preserve"> </w:t>
      </w:r>
      <w:r>
        <w:t xml:space="preserve">composite transcripts were highly heritable and explained a high</w:t>
      </w:r>
      <w:r>
        <w:t xml:space="preserve"> </w:t>
      </w:r>
      <w:r>
        <w:t xml:space="preserve">proportion of disease risk, further supporting their role as mediators.</w:t>
      </w:r>
      <w:r>
        <w:t xml:space="preserve"> </w:t>
      </w:r>
      <w:r>
        <w:t xml:space="preserve">The composite transcripts were moreover able to predict obesity in an</w:t>
      </w:r>
      <w:r>
        <w:t xml:space="preserve"> </w:t>
      </w:r>
      <w:r>
        <w:t xml:space="preserve">independent cohort of mice whereas models using local eQTL only could</w:t>
      </w:r>
      <w:r>
        <w:t xml:space="preserve"> </w:t>
      </w:r>
      <w:r>
        <w:t xml:space="preserve">not. Together these observations suggest that distal gene regulation was</w:t>
      </w:r>
      <w:r>
        <w:t xml:space="preserve"> </w:t>
      </w:r>
      <w:r>
        <w:t xml:space="preserve">the dominant mode through which gene expression mediated the effect of</w:t>
      </w:r>
      <w:r>
        <w:t xml:space="preserve"> </w:t>
      </w:r>
      <w:r>
        <w:t xml:space="preserve">genetic background on complex metabolic traits.</w:t>
      </w:r>
    </w:p>
    <w:p>
      <w:pPr>
        <w:pStyle w:val="BodyText"/>
      </w:pPr>
      <w:r>
        <w:t xml:space="preserve">Identification of this distally heritable signature depended on the</w:t>
      </w:r>
      <w:r>
        <w:t xml:space="preserve"> </w:t>
      </w:r>
      <w:r>
        <w:t xml:space="preserve">high-dimensional approach we used. Because HDMA uses a kinship matrix</w:t>
      </w:r>
      <w:r>
        <w:t xml:space="preserve"> </w:t>
      </w:r>
      <w:r>
        <w:t xml:space="preserve">rather than genotypes at individual loci, it allows for arbitrarily</w:t>
      </w:r>
      <w:r>
        <w:t xml:space="preserve"> </w:t>
      </w:r>
      <w:r>
        <w:t xml:space="preserve">complex gene regulation, as well as the interconnectedness and</w:t>
      </w:r>
      <w:r>
        <w:t xml:space="preserve"> </w:t>
      </w:r>
      <w:r>
        <w:t xml:space="preserve">redundancy of the transcriptome. This feature also means that HDMA</w:t>
      </w:r>
      <w:r>
        <w:t xml:space="preserve"> </w:t>
      </w:r>
      <w:r>
        <w:t xml:space="preserve">assumes that traits are highly polygenic and distributed across the</w:t>
      </w:r>
      <w:r>
        <w:t xml:space="preserve"> </w:t>
      </w:r>
      <w:r>
        <w:t xml:space="preserve">genome. In contrast, one-dimensional, univariate approaches assume a</w:t>
      </w:r>
      <w:r>
        <w:t xml:space="preserve"> </w:t>
      </w:r>
      <w:r>
        <w:t xml:space="preserve">large, localized genetic effect. Thus, the HDMA approach is consistent</w:t>
      </w:r>
      <w:r>
        <w:t xml:space="preserve"> </w:t>
      </w:r>
      <w:r>
        <w:t xml:space="preserve">with the omnigenic model of complex traits which posits that complex</w:t>
      </w:r>
      <w:r>
        <w:t xml:space="preserve"> </w:t>
      </w:r>
      <w:r>
        <w:t xml:space="preserve">traits are massively polygenic and that their heritability is spread out</w:t>
      </w:r>
      <w:r>
        <w:t xml:space="preserve"> </w:t>
      </w:r>
      <w:r>
        <w:t xml:space="preserve">across the genome</w:t>
      </w:r>
      <w:r>
        <w:rPr>
          <w:vertAlign w:val="superscript"/>
        </w:rPr>
        <w:t xml:space="preserve">67</w:t>
      </w:r>
      <w:r>
        <w:t xml:space="preserve">. In the omnigenic model, genes are</w:t>
      </w:r>
      <w:r>
        <w:t xml:space="preserve"> </w:t>
      </w:r>
      <w:r>
        <w:t xml:space="preserve">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</w:t>
      </w:r>
      <w:r>
        <w:t xml:space="preserve"> </w:t>
      </w:r>
      <w:r>
        <w:t xml:space="preserve">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 directly trait-related,</w:t>
      </w:r>
      <w:r>
        <w:t xml:space="preserve"> </w:t>
      </w:r>
      <w:r>
        <w:t xml:space="preserve">but influence core genes through the complex gene regulatory network.</w:t>
      </w:r>
      <w:r>
        <w:t xml:space="preserve"> </w:t>
      </w:r>
      <w:r>
        <w:t xml:space="preserve">HDMA explicitly models a central proposal of the omnigenic model which</w:t>
      </w:r>
      <w:r>
        <w:t xml:space="preserve"> </w:t>
      </w:r>
      <w:r>
        <w:t xml:space="preserve">posits that once the expression of the core genes (i.e. trait-mediating</w:t>
      </w:r>
      <w:r>
        <w:t xml:space="preserve"> </w:t>
      </w:r>
      <w:r>
        <w:t xml:space="preserve">genes) is accounted for, there should be no residual correlation between</w:t>
      </w:r>
      <w:r>
        <w:t xml:space="preserve"> </w:t>
      </w:r>
      <w:r>
        <w:t xml:space="preserve">the genome and the phenome. Here, when the composite transcript was</w:t>
      </w:r>
      <w:r>
        <w:t xml:space="preserve"> </w:t>
      </w:r>
      <w:r>
        <w:t xml:space="preserve">taken into account there was no residual correlation between the</w:t>
      </w:r>
      <w:r>
        <w:t xml:space="preserve"> </w:t>
      </w:r>
      <w:r>
        <w:t xml:space="preserve">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composite transcript is essentially a weighted vector with</w:t>
      </w:r>
      <w:r>
        <w:t xml:space="preserve"> </w:t>
      </w:r>
      <w:r>
        <w:t xml:space="preserve">larger weights (loadings)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</w:t>
      </w:r>
      <w:r>
        <w:t xml:space="preserve"> </w:t>
      </w:r>
      <w:r>
        <w:t xml:space="preserve">transcript. There was no clear demarcation between the core and</w:t>
      </w:r>
      <w:r>
        <w:t xml:space="preserve"> </w:t>
      </w:r>
      <w:r>
        <w:t xml:space="preserve">peripheral genes in loading magnitude, but we do not necessarily expect</w:t>
      </w:r>
      <w:r>
        <w:t xml:space="preserve"> </w:t>
      </w:r>
      <w:r>
        <w:t xml:space="preserve">a clear separation given the complexity of gene regulation and the</w:t>
      </w:r>
      <w:r>
        <w:t xml:space="preserve"> </w:t>
      </w:r>
      <w:r>
        <w:t xml:space="preserve">genotype-phenotype map</w:t>
      </w:r>
      <w:r>
        <w:rPr>
          <w:vertAlign w:val="superscript"/>
        </w:rPr>
        <w:t xml:space="preserve">68</w:t>
      </w:r>
      <w:r>
        <w:t xml:space="preserve">. Still, the transcripts with</w:t>
      </w:r>
      <w:r>
        <w:t xml:space="preserve"> </w:t>
      </w:r>
      <w:r>
        <w:t xml:space="preserve">the largest loadings had high distal heritability, low local</w:t>
      </w:r>
      <w:r>
        <w:t xml:space="preserve"> </w:t>
      </w:r>
      <w:r>
        <w:t xml:space="preserve">heritability, and were enriched for biological processes related to</w:t>
      </w:r>
      <w:r>
        <w:t xml:space="preserve"> </w:t>
      </w:r>
      <w:r>
        <w:t xml:space="preserve">metabolic traits, as we would predict for core genes.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</w:t>
      </w:r>
      <w:r>
        <w:rPr>
          <w:vertAlign w:val="superscript"/>
        </w:rPr>
        <w:t xml:space="preserve">63</w:t>
      </w:r>
      <w:r>
        <w:t xml:space="preserve">. This</w:t>
      </w:r>
      <w:r>
        <w:t xml:space="preserve"> </w:t>
      </w:r>
      <w:r>
        <w:t xml:space="preserve">is consistent with what we observed here. The transcripts with the</w:t>
      </w:r>
      <w:r>
        <w:t xml:space="preserve"> </w:t>
      </w:r>
      <w:r>
        <w:t xml:space="preserve">largest loadings were strongly distally regulated and only weakly</w:t>
      </w:r>
      <w:r>
        <w:t xml:space="preserve"> </w:t>
      </w:r>
      <w:r>
        <w:t xml:space="preserve">locally regulated, suggesting that distal gene regulation plays a</w:t>
      </w:r>
      <w:r>
        <w:t xml:space="preserve"> </w:t>
      </w:r>
      <w:r>
        <w:t xml:space="preserve">primary role in driving heritable trait variation. We saw further that</w:t>
      </w:r>
      <w:r>
        <w:t xml:space="preserve"> </w:t>
      </w:r>
      <w:r>
        <w:t xml:space="preserve">the patterns of distal heritability were complex spread across the</w:t>
      </w:r>
      <w:r>
        <w:t xml:space="preserve"> </w:t>
      </w:r>
      <w:r>
        <w:t xml:space="preserve">genome. Even for transcripts whose expression was strongly regulated by</w:t>
      </w:r>
      <w:r>
        <w:t xml:space="preserve"> </w:t>
      </w:r>
      <w:r>
        <w:t xml:space="preserve">distal factors, these factors were multiple and spread across the</w:t>
      </w:r>
      <w:r>
        <w:t xml:space="preserve"> </w:t>
      </w:r>
      <w:r>
        <w:t xml:space="preserve">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 mediating transcript</w:t>
      </w:r>
      <w:r>
        <w:t xml:space="preserve"> </w:t>
      </w:r>
      <w:r>
        <w:t xml:space="preserve">in islet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69–71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 5). Thus, although distal regulation of some genes may be</w:t>
      </w:r>
      <w:r>
        <w:t xml:space="preserve"> </w:t>
      </w:r>
      <w:r>
        <w:t xml:space="preserve">strong, this regulation is likely to be highly complex and not easily</w:t>
      </w:r>
      <w:r>
        <w:t xml:space="preserve"> </w:t>
      </w:r>
      <w:r>
        <w:t xml:space="preserve">localized.</w:t>
      </w:r>
    </w:p>
    <w:p>
      <w:pPr>
        <w:pStyle w:val="BodyText"/>
      </w:pP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that they have a heritable component, and that</w:t>
      </w:r>
      <w:r>
        <w:t xml:space="preserve"> </w:t>
      </w:r>
      <w:r>
        <w:t xml:space="preserve">some individuals are genetically susceptible to greater adipose</w:t>
      </w:r>
      <w:r>
        <w:t xml:space="preserve"> </w:t>
      </w:r>
      <w:r>
        <w:t xml:space="preserve">inflammation on a high-fat, high-sugar diet.</w:t>
      </w:r>
    </w:p>
    <w:p>
      <w:pPr>
        <w:pStyle w:val="BodyText"/>
      </w:pPr>
      <w:r>
        <w:t xml:space="preserve">Individual transcripts also demonstrated biologically interpretable,</w:t>
      </w:r>
      <w:r>
        <w:t xml:space="preserve"> </w:t>
      </w:r>
      <w:r>
        <w:t xml:space="preserve">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 which is known</w:t>
      </w:r>
      <w:r>
        <w:t xml:space="preserve"> </w:t>
      </w:r>
      <w:r>
        <w:t xml:space="preserve">to be protective in adipose tissue</w:t>
      </w:r>
      <w:r>
        <w:rPr>
          <w:vertAlign w:val="superscript"/>
        </w:rPr>
        <w:t xml:space="preserve">31</w:t>
      </w:r>
      <w:r>
        <w:t xml:space="preserve"> </w:t>
      </w:r>
      <w:r>
        <w:t xml:space="preserve">where it was</w:t>
      </w:r>
      <w:r>
        <w:t xml:space="preserve"> </w:t>
      </w:r>
      <w:r>
        <w:t xml:space="preserve">negatively loaded, and harmful in the liver</w:t>
      </w:r>
      <w:r>
        <w:rPr>
          <w:vertAlign w:val="superscript"/>
        </w:rPr>
        <w:t xml:space="preserve">32–36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system-wide, since antagonists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may reduce fatty liver</w:t>
      </w:r>
      <w:r>
        <w:t xml:space="preserve"> </w:t>
      </w:r>
      <w:r>
        <w:t xml:space="preserve">disease, but exacerbate adipose tissue inflammation.</w:t>
      </w:r>
    </w:p>
    <w:p>
      <w:pPr>
        <w:pStyle w:val="BodyText"/>
      </w:pPr>
      <w:r>
        <w:t xml:space="preserve">We showed further that these composite transcripts can be used as</w:t>
      </w:r>
      <w:r>
        <w:t xml:space="preserve"> </w:t>
      </w:r>
      <w:r>
        <w:t xml:space="preserve">weighted vectors in multiple types of analysis, such as drug</w:t>
      </w:r>
      <w:r>
        <w:t xml:space="preserve"> </w:t>
      </w:r>
      <w:r>
        <w:t xml:space="preserve">prioritization using gene set enrichment analysis (GSEA) and the CMAP</w:t>
      </w:r>
      <w:r>
        <w:t xml:space="preserve"> </w:t>
      </w:r>
      <w:r>
        <w:t xml:space="preserve">database. In particular, the CMAP analysis identified drugs which have</w:t>
      </w:r>
      <w:r>
        <w:t xml:space="preserve"> </w:t>
      </w:r>
      <w:r>
        <w:t xml:space="preserve">been demonstrated to reverse insulin resistance and other aspects of</w:t>
      </w:r>
      <w:r>
        <w:t xml:space="preserve"> </w:t>
      </w:r>
      <w:r>
        <w:t xml:space="preserve">metabolic disease. This finding supports the causal role of these gene</w:t>
      </w:r>
      <w:r>
        <w:t xml:space="preserve"> </w:t>
      </w:r>
      <w:r>
        <w:t xml:space="preserve">signatures in pathogenesis of metabolic disease and thus their utility</w:t>
      </w:r>
      <w:r>
        <w:t xml:space="preserve"> </w:t>
      </w:r>
      <w:r>
        <w:t xml:space="preserve">in prioritizing drugs and gene 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hypotheses about cell</w:t>
      </w:r>
      <w:r>
        <w:t xml:space="preserve"> </w:t>
      </w:r>
      <w:r>
        <w:t xml:space="preserve">composition in individual tissues. Combining the multi-tissue,</w:t>
      </w:r>
      <w:r>
        <w:t xml:space="preserve"> </w:t>
      </w:r>
      <w:r>
        <w:t xml:space="preserve">transcriptome-wide weighted vectors with public databases and data sets</w:t>
      </w:r>
      <w:r>
        <w:t xml:space="preserve"> </w:t>
      </w:r>
      <w:r>
        <w:t xml:space="preserve">thus provides a path for generating a wide range of testable hypotheses.</w:t>
      </w:r>
      <w:r>
        <w:t xml:space="preserve"> </w:t>
      </w:r>
      <w:r>
        <w:t xml:space="preserve">Moreover, each data set presented here was derived from human tissues or</w:t>
      </w:r>
      <w:r>
        <w:t xml:space="preserve"> </w:t>
      </w:r>
      <w:r>
        <w:t xml:space="preserve">cell lines, thus demonstrating the translatability of these results.</w:t>
      </w:r>
      <w:r>
        <w:t xml:space="preserve"> </w:t>
      </w:r>
      <w:r>
        <w:t xml:space="preserve">That the mouse-derived adipose composite transcript was able to classify</w:t>
      </w:r>
      <w:r>
        <w:t xml:space="preserve"> </w:t>
      </w:r>
      <w:r>
        <w:t xml:space="preserve">human adipose gene expression in terms of obesity and diabetes status</w:t>
      </w:r>
      <w:r>
        <w:t xml:space="preserve"> </w:t>
      </w:r>
      <w:r>
        <w:t xml:space="preserve">further supports the direct translatablility of these findings, the</w:t>
      </w:r>
      <w:r>
        <w:t xml:space="preserve"> </w:t>
      </w:r>
      <w:r>
        <w:t xml:space="preserve">utility of HDMA, and the continued importance of mouse models of human</w:t>
      </w:r>
      <w:r>
        <w:t xml:space="preserve"> </w:t>
      </w:r>
      <w:r>
        <w:t xml:space="preserve">disease in which it is possible to obtain complete transriptomes in</w:t>
      </w:r>
      <w:r>
        <w:t xml:space="preserve"> </w:t>
      </w:r>
      <w:r>
        <w:t xml:space="preserve">mutliple tissues across large numbers of individuals.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50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CC-RIX_Imputati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lemental_FigX_Nucb2_eQTL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9" w:name="refs"/>
    <w:bookmarkStart w:id="76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6"/>
    <w:bookmarkStart w:id="77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7"/>
    <w:bookmarkStart w:id="78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8"/>
    <w:bookmarkStart w:id="79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9"/>
    <w:bookmarkStart w:id="80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80"/>
    <w:bookmarkStart w:id="81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1"/>
    <w:bookmarkStart w:id="82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2"/>
    <w:bookmarkStart w:id="83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3"/>
    <w:bookmarkStart w:id="84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4"/>
    <w:bookmarkStart w:id="85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5"/>
    <w:bookmarkStart w:id="86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6"/>
    <w:bookmarkStart w:id="87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7"/>
    <w:bookmarkStart w:id="88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8"/>
    <w:bookmarkStart w:id="89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9"/>
    <w:bookmarkStart w:id="90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90"/>
    <w:bookmarkStart w:id="91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1"/>
    <w:bookmarkStart w:id="92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2"/>
    <w:bookmarkStart w:id="93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3"/>
    <w:bookmarkStart w:id="94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4"/>
    <w:bookmarkStart w:id="95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5"/>
    <w:bookmarkStart w:id="96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6"/>
    <w:bookmarkStart w:id="97" w:name="ref-pmid18716833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97"/>
    <w:bookmarkStart w:id="98" w:name="ref-pmid31133439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8"/>
    <w:bookmarkStart w:id="99" w:name="ref-pmid17018838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9"/>
    <w:bookmarkStart w:id="100" w:name="ref-pmid30591514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00"/>
    <w:bookmarkStart w:id="102" w:name="ref-rgcc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01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2"/>
    <w:bookmarkStart w:id="104" w:name="ref-fgsea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3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4"/>
    <w:bookmarkStart w:id="105" w:name="ref-pmid16199517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5"/>
    <w:bookmarkStart w:id="106" w:name="ref-pmid22560213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6"/>
    <w:bookmarkStart w:id="107" w:name="ref-pmid19841271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7"/>
    <w:bookmarkStart w:id="108" w:name="ref-pmid17389767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8"/>
    <w:bookmarkStart w:id="109" w:name="ref-pmid12805374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9"/>
    <w:bookmarkStart w:id="110" w:name="ref-pmid12618528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10"/>
    <w:bookmarkStart w:id="111" w:name="ref-pmid16357043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11"/>
    <w:bookmarkStart w:id="112" w:name="ref-pmid1564445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2"/>
    <w:bookmarkStart w:id="113" w:name="ref-pmid16403437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3"/>
    <w:bookmarkStart w:id="114" w:name="ref-pmid17008526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14"/>
    <w:bookmarkStart w:id="115" w:name="ref-pmid30290005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5"/>
    <w:bookmarkStart w:id="116" w:name="ref-pmid30034573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6"/>
    <w:bookmarkStart w:id="117" w:name="ref-pmid23881200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7"/>
    <w:bookmarkStart w:id="118" w:name="ref-pmid21266327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8"/>
    <w:bookmarkStart w:id="119" w:name="ref-pmid24582093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9"/>
    <w:bookmarkStart w:id="120" w:name="ref-pmid35585199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20"/>
    <w:bookmarkStart w:id="121" w:name="ref-pmid30310815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21"/>
    <w:bookmarkStart w:id="122" w:name="ref-pmid11254472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22"/>
    <w:bookmarkStart w:id="123" w:name="ref-pmid23197361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3"/>
    <w:bookmarkStart w:id="124" w:name="ref-pmid2741101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4"/>
    <w:bookmarkStart w:id="125" w:name="ref-pmid25385872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5"/>
    <w:bookmarkStart w:id="126" w:name="ref-pmid34450194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6"/>
    <w:bookmarkStart w:id="127" w:name="ref-pmid21459330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7"/>
    <w:bookmarkStart w:id="128" w:name="ref-pmid12114611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8"/>
    <w:bookmarkStart w:id="129" w:name="ref-pmid33648925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9"/>
    <w:bookmarkStart w:id="130" w:name="ref-pmid28753229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30"/>
    <w:bookmarkStart w:id="131" w:name="ref-pmid28683283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31"/>
    <w:bookmarkStart w:id="132" w:name="ref-pmid15685170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32"/>
    <w:bookmarkStart w:id="133" w:name="ref-pmid33603744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3"/>
    <w:bookmarkStart w:id="134" w:name="ref-pmid3228100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4"/>
    <w:bookmarkStart w:id="135" w:name="ref-pmid27007849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5"/>
    <w:bookmarkStart w:id="136" w:name="ref-pmid28823510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6"/>
    <w:bookmarkStart w:id="137" w:name="ref-pmid24520198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7"/>
    <w:bookmarkStart w:id="138" w:name="ref-pmid2119046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8"/>
    <w:bookmarkStart w:id="139" w:name="ref-pmid16631807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9"/>
    <w:bookmarkStart w:id="140" w:name="ref-pmid31051098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40"/>
    <w:bookmarkStart w:id="141" w:name="ref-pmid29782925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41"/>
    <w:bookmarkStart w:id="142" w:name="ref-pmid12082173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42"/>
    <w:bookmarkStart w:id="143" w:name="ref-pmid27304973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43"/>
    <w:bookmarkStart w:id="144" w:name="ref-pmid2862250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44"/>
    <w:bookmarkStart w:id="145" w:name="ref-pmid2990644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5"/>
    <w:bookmarkStart w:id="146" w:name="ref-pmid2210880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6"/>
    <w:bookmarkStart w:id="147" w:name="ref-pmid23537085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7"/>
    <w:bookmarkStart w:id="148" w:name="ref-pmid24993278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8"/>
    <w:bookmarkEnd w:id="149"/>
    <w:bookmarkEnd w:id="1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hyperlink" Id="rId101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3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1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03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2024-08-14T17:29:36Z</dcterms:created>
  <dcterms:modified xsi:type="dcterms:W3CDTF">2024-08-14T17:29:36Z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